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9DE" w:rsidRPr="009E79DE" w:rsidRDefault="009E79DE" w:rsidP="009E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9E79DE" w:rsidRPr="004C71AF" w:rsidRDefault="009E79DE" w:rsidP="009E7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12"/>
      </w:tblGrid>
      <w:tr w:rsidR="009E79DE" w:rsidRPr="004C71AF" w:rsidTr="009E79DE">
        <w:tc>
          <w:tcPr>
            <w:tcW w:w="5068" w:type="dxa"/>
            <w:hideMark/>
          </w:tcPr>
          <w:p w:rsidR="009E79DE" w:rsidRPr="004C71AF" w:rsidRDefault="009E79DE" w:rsidP="000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27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</w:t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6B1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9E79DE" w:rsidRPr="004C71AF" w:rsidRDefault="00027144" w:rsidP="0002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21</w:t>
            </w:r>
            <w:r w:rsidR="009E79DE"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E79DE" w:rsidRPr="004C71AF" w:rsidRDefault="009E79DE" w:rsidP="009E79DE">
      <w:pPr>
        <w:keepNext/>
        <w:spacing w:before="240" w:after="240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DA6754" w:rsidRPr="004C71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Саранпауль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 июля 2021 года № 248-ФЗ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876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876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02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охраняемым законом ценностям»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</w:t>
      </w:r>
      <w:r w:rsid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контролю </w:t>
      </w:r>
      <w:r w:rsidR="00EC49F1" w:rsidRP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="00EC49F1" w:rsidRP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027144" w:rsidRPr="00027144" w:rsidRDefault="00B65DC1" w:rsidP="000271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27144" w:rsidRPr="0002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027144" w:rsidRPr="00027144">
        <w:rPr>
          <w:rFonts w:ascii="Times New Roman" w:eastAsia="Calibri" w:hAnsi="Times New Roman" w:cs="Times New Roman"/>
          <w:bCs/>
          <w:sz w:val="26"/>
          <w:szCs w:val="26"/>
        </w:rPr>
        <w:t>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6" w:history="1">
        <w:r w:rsidR="00027144" w:rsidRPr="00027144">
          <w:rPr>
            <w:rFonts w:ascii="Times New Roman" w:eastAsia="Calibri" w:hAnsi="Times New Roman" w:cs="Times New Roman"/>
            <w:bCs/>
            <w:sz w:val="26"/>
            <w:szCs w:val="26"/>
          </w:rPr>
          <w:t>www.саранпауль-адм.рф</w:t>
        </w:r>
      </w:hyperlink>
      <w:r w:rsidR="00027144" w:rsidRPr="00027144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 Сметанин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Pr="00F63422" w:rsidRDefault="00B65DC1" w:rsidP="00541077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B65DC1" w:rsidRDefault="00B65DC1" w:rsidP="00541077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FD15F3" w:rsidRDefault="00FD15F3" w:rsidP="00541077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2D31D1" w:rsidRDefault="002D31D1" w:rsidP="00541077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65DC1" w:rsidRPr="00331DE8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027144">
        <w:rPr>
          <w:rFonts w:ascii="Times New Roman" w:eastAsia="Times New Roman" w:hAnsi="Times New Roman" w:cs="Times New Roman"/>
          <w:sz w:val="26"/>
          <w:szCs w:val="26"/>
          <w:lang w:eastAsia="ru-RU"/>
        </w:rPr>
        <w:t>27.01.</w:t>
      </w:r>
      <w:r w:rsidR="00FD15F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02714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1DE8" w:rsidRPr="00FD15F3" w:rsidRDefault="00B65DC1" w:rsidP="0054107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D15F3">
        <w:rPr>
          <w:b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ТЕРРИТОРИИ СЕЛЬСКОГО ПОСЕЛЕНИЯ </w:t>
      </w:r>
      <w:r w:rsidR="009E79DE">
        <w:rPr>
          <w:b/>
          <w:color w:val="000000"/>
          <w:sz w:val="26"/>
          <w:szCs w:val="26"/>
        </w:rPr>
        <w:t>САРАНПАУЛЬ</w:t>
      </w:r>
      <w:r w:rsidRPr="00FD15F3">
        <w:rPr>
          <w:b/>
          <w:color w:val="000000"/>
          <w:sz w:val="26"/>
          <w:szCs w:val="26"/>
        </w:rPr>
        <w:t xml:space="preserve"> НА 2022 ГОД</w:t>
      </w:r>
    </w:p>
    <w:p w:rsidR="00FD15F3" w:rsidRPr="00331DE8" w:rsidRDefault="00FD15F3" w:rsidP="005410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65DC1" w:rsidRDefault="00B65DC1" w:rsidP="0054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муниципальному контролю</w:t>
      </w:r>
      <w:r w:rsidR="004B3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9F1" w:rsidRP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9E7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="00EC49F1" w:rsidRP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r w:rsidR="00EC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</w:t>
      </w:r>
      <w:proofErr w:type="gramEnd"/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5F3" w:rsidRDefault="00FD15F3" w:rsidP="0054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Default="00B65DC1" w:rsidP="00FD15F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D629C">
        <w:rPr>
          <w:b/>
          <w:color w:val="000000"/>
          <w:sz w:val="27"/>
          <w:szCs w:val="27"/>
        </w:rPr>
        <w:t xml:space="preserve">1. Анализ текущего состояния осуществления </w:t>
      </w:r>
      <w:r w:rsidR="00EC49F1">
        <w:rPr>
          <w:b/>
          <w:color w:val="000000"/>
          <w:sz w:val="27"/>
          <w:szCs w:val="27"/>
        </w:rPr>
        <w:t xml:space="preserve">муниципального </w:t>
      </w:r>
      <w:r>
        <w:rPr>
          <w:b/>
          <w:color w:val="000000"/>
          <w:sz w:val="27"/>
          <w:szCs w:val="27"/>
        </w:rPr>
        <w:t xml:space="preserve">контроля </w:t>
      </w:r>
      <w:r w:rsidR="00EC49F1" w:rsidRPr="00EC49F1">
        <w:rPr>
          <w:b/>
          <w:color w:val="000000"/>
          <w:sz w:val="27"/>
          <w:szCs w:val="27"/>
        </w:rPr>
        <w:t>на автомобильном</w:t>
      </w:r>
      <w:r w:rsidR="00EE217A">
        <w:rPr>
          <w:b/>
          <w:color w:val="000000"/>
          <w:sz w:val="27"/>
          <w:szCs w:val="27"/>
        </w:rPr>
        <w:t xml:space="preserve"> транспорте, городском наземном </w:t>
      </w:r>
      <w:r w:rsidR="00EC49F1" w:rsidRPr="00EC49F1">
        <w:rPr>
          <w:b/>
          <w:color w:val="000000"/>
          <w:sz w:val="27"/>
          <w:szCs w:val="27"/>
        </w:rPr>
        <w:t xml:space="preserve">электрическом транспорте и в дорожном хозяйстве в границах сельского поселения </w:t>
      </w:r>
      <w:r w:rsidR="009E79DE">
        <w:rPr>
          <w:b/>
          <w:color w:val="000000"/>
          <w:sz w:val="27"/>
          <w:szCs w:val="27"/>
        </w:rPr>
        <w:t>Саранпауль</w:t>
      </w:r>
      <w:r w:rsidR="00EC49F1" w:rsidRPr="00EC49F1">
        <w:rPr>
          <w:b/>
          <w:color w:val="000000"/>
          <w:sz w:val="27"/>
          <w:szCs w:val="27"/>
        </w:rPr>
        <w:t xml:space="preserve"> на 2022 год</w:t>
      </w:r>
      <w:r w:rsidRPr="002D629C">
        <w:rPr>
          <w:b/>
          <w:color w:val="000000"/>
          <w:sz w:val="27"/>
          <w:szCs w:val="27"/>
        </w:rPr>
        <w:t xml:space="preserve">, описание текущего уровня развития профилактической </w:t>
      </w:r>
      <w:r w:rsidRPr="00F63422">
        <w:rPr>
          <w:b/>
          <w:color w:val="000000"/>
          <w:sz w:val="27"/>
          <w:szCs w:val="27"/>
        </w:rPr>
        <w:t>деятельности контрольного (надзорного) органа,</w:t>
      </w:r>
      <w:r w:rsidRPr="002D629C">
        <w:rPr>
          <w:b/>
          <w:color w:val="000000"/>
          <w:sz w:val="27"/>
          <w:szCs w:val="27"/>
        </w:rPr>
        <w:t xml:space="preserve"> характеристика проблем, на решение которых направлена программа профилактики</w:t>
      </w:r>
    </w:p>
    <w:p w:rsidR="00FD15F3" w:rsidRDefault="00FD15F3" w:rsidP="00541077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7"/>
          <w:szCs w:val="27"/>
        </w:rPr>
      </w:pPr>
    </w:p>
    <w:p w:rsidR="00B65DC1" w:rsidRPr="00B65DC1" w:rsidRDefault="00B65DC1" w:rsidP="0054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</w:t>
      </w:r>
      <w:r w:rsidRPr="00B65D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 гражданами обязательных требований,</w:t>
      </w: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B65DC1" w:rsidRPr="00B65DC1" w:rsidRDefault="00B65DC1" w:rsidP="00541077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:rsidR="00B65DC1" w:rsidRPr="00B65DC1" w:rsidRDefault="00B65DC1" w:rsidP="00541077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эксплуатации объектов дорожного сервиса, размещенных </w:t>
      </w: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65DC1" w:rsidRPr="00B65DC1" w:rsidRDefault="00B65DC1" w:rsidP="00541077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осуществлению работ по капитальному ремонту, ремонту </w:t>
      </w: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DA67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сохранности автомобильных дорог.</w:t>
      </w:r>
    </w:p>
    <w:p w:rsidR="00B65DC1" w:rsidRPr="00B65DC1" w:rsidRDefault="00B65DC1" w:rsidP="0054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B65D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электрическом транспорте и в дорожном хозяйстве в области организации регулярных перевозок.</w:t>
      </w:r>
    </w:p>
    <w:p w:rsidR="00B65DC1" w:rsidRDefault="00EE217A" w:rsidP="0054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B65DC1" w:rsidRPr="00B65D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Исполнение решений, принимаемых по результатам контрольных мероприятий.</w:t>
      </w:r>
    </w:p>
    <w:p w:rsidR="00B65DC1" w:rsidRPr="00FD4B62" w:rsidRDefault="00B65DC1" w:rsidP="0054107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D4B62">
        <w:rPr>
          <w:rFonts w:ascii="Times New Roman" w:eastAsia="Calibri" w:hAnsi="Times New Roman" w:cs="Times New Roman"/>
          <w:sz w:val="26"/>
          <w:szCs w:val="26"/>
        </w:rPr>
        <w:t>В 202</w:t>
      </w:r>
      <w:r w:rsidR="00DA6754">
        <w:rPr>
          <w:rFonts w:ascii="Times New Roman" w:eastAsia="Calibri" w:hAnsi="Times New Roman" w:cs="Times New Roman"/>
          <w:sz w:val="26"/>
          <w:szCs w:val="26"/>
        </w:rPr>
        <w:t>1</w:t>
      </w:r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 году проверки юридических лиц и индивидуальных предпринимателей не проводились в связи с ограничениями</w:t>
      </w:r>
      <w:r w:rsidR="00DA6754">
        <w:rPr>
          <w:rFonts w:ascii="Times New Roman" w:eastAsia="Calibri" w:hAnsi="Times New Roman" w:cs="Times New Roman"/>
          <w:sz w:val="26"/>
          <w:szCs w:val="26"/>
        </w:rPr>
        <w:t>,</w:t>
      </w:r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 введенными постановлением Правительства Российской Федерации от </w:t>
      </w:r>
      <w:r w:rsidR="00F92849" w:rsidRPr="00EB636E">
        <w:rPr>
          <w:rFonts w:ascii="Times New Roman" w:eastAsia="Calibri" w:hAnsi="Times New Roman" w:cs="Times New Roman"/>
          <w:sz w:val="26"/>
          <w:szCs w:val="26"/>
        </w:rPr>
        <w:t>30.11.</w:t>
      </w:r>
      <w:r w:rsidRPr="00EB636E">
        <w:rPr>
          <w:rFonts w:ascii="Times New Roman" w:eastAsia="Calibri" w:hAnsi="Times New Roman" w:cs="Times New Roman"/>
          <w:sz w:val="26"/>
          <w:szCs w:val="26"/>
        </w:rPr>
        <w:t xml:space="preserve">2020 № </w:t>
      </w:r>
      <w:r w:rsidR="00EB636E" w:rsidRPr="00EB636E">
        <w:rPr>
          <w:rFonts w:ascii="Times New Roman" w:eastAsia="Calibri" w:hAnsi="Times New Roman" w:cs="Times New Roman"/>
          <w:sz w:val="26"/>
          <w:szCs w:val="26"/>
        </w:rPr>
        <w:t>1969</w:t>
      </w:r>
      <w:r w:rsidRPr="00EB63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849">
        <w:rPr>
          <w:rFonts w:ascii="Times New Roman" w:eastAsia="Calibri" w:hAnsi="Times New Roman" w:cs="Times New Roman"/>
          <w:sz w:val="26"/>
          <w:szCs w:val="26"/>
        </w:rPr>
        <w:t>«</w:t>
      </w:r>
      <w:r w:rsidR="00F92849" w:rsidRPr="00F92849">
        <w:rPr>
          <w:rFonts w:ascii="Times New Roman" w:eastAsia="Calibri" w:hAnsi="Times New Roman" w:cs="Times New Roman"/>
          <w:sz w:val="26"/>
          <w:szCs w:val="26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</w:r>
      <w:proofErr w:type="gramEnd"/>
      <w:r w:rsidR="00F92849" w:rsidRPr="00F92849">
        <w:rPr>
          <w:rFonts w:ascii="Times New Roman" w:eastAsia="Calibri" w:hAnsi="Times New Roman" w:cs="Times New Roman"/>
          <w:sz w:val="26"/>
          <w:szCs w:val="26"/>
        </w:rPr>
        <w:t xml:space="preserve"> ежегодных планов проведения плановых проверок юридических лиц и индивидуальных предпринимателей</w:t>
      </w:r>
      <w:r w:rsidRPr="00FD4B62">
        <w:rPr>
          <w:rFonts w:ascii="Times New Roman" w:eastAsia="Calibri" w:hAnsi="Times New Roman" w:cs="Times New Roman"/>
          <w:sz w:val="26"/>
          <w:szCs w:val="26"/>
        </w:rPr>
        <w:t>».</w:t>
      </w:r>
      <w:r w:rsidRPr="00FD4B62">
        <w:rPr>
          <w:sz w:val="24"/>
          <w:szCs w:val="24"/>
        </w:rPr>
        <w:t xml:space="preserve"> </w:t>
      </w:r>
    </w:p>
    <w:p w:rsidR="00B65DC1" w:rsidRPr="00FD4B62" w:rsidRDefault="00B65DC1" w:rsidP="005410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отделом </w:t>
      </w:r>
      <w:r w:rsidR="00DA6754">
        <w:rPr>
          <w:rFonts w:ascii="Times New Roman" w:eastAsia="Calibri" w:hAnsi="Times New Roman" w:cs="Times New Roman"/>
          <w:sz w:val="26"/>
          <w:szCs w:val="26"/>
        </w:rPr>
        <w:t>жилищных отношений</w:t>
      </w:r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6754">
        <w:rPr>
          <w:rFonts w:ascii="Times New Roman" w:eastAsia="Calibri" w:hAnsi="Times New Roman" w:cs="Times New Roman"/>
          <w:sz w:val="26"/>
          <w:szCs w:val="26"/>
        </w:rPr>
        <w:t xml:space="preserve">и реализации программ </w:t>
      </w:r>
      <w:r w:rsidRPr="00FD4B62">
        <w:rPr>
          <w:rFonts w:ascii="Times New Roman" w:eastAsia="Calibri" w:hAnsi="Times New Roman" w:cs="Times New Roman"/>
          <w:sz w:val="26"/>
          <w:szCs w:val="26"/>
        </w:rPr>
        <w:t>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</w:t>
      </w:r>
      <w:proofErr w:type="gramEnd"/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79DE">
        <w:rPr>
          <w:rFonts w:ascii="Times New Roman" w:eastAsia="Calibri" w:hAnsi="Times New Roman" w:cs="Times New Roman"/>
          <w:sz w:val="26"/>
          <w:szCs w:val="26"/>
        </w:rPr>
        <w:t>Саранпауль</w:t>
      </w:r>
      <w:r w:rsidR="00756C71">
        <w:rPr>
          <w:rFonts w:ascii="Times New Roman" w:eastAsia="Calibri" w:hAnsi="Times New Roman" w:cs="Times New Roman"/>
          <w:sz w:val="26"/>
          <w:szCs w:val="26"/>
        </w:rPr>
        <w:t xml:space="preserve"> на 2021</w:t>
      </w:r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 год, которая утверждена постановлением администрации сельского поселения </w:t>
      </w:r>
      <w:r w:rsidR="009E79DE">
        <w:rPr>
          <w:rFonts w:ascii="Times New Roman" w:eastAsia="Calibri" w:hAnsi="Times New Roman" w:cs="Times New Roman"/>
          <w:sz w:val="26"/>
          <w:szCs w:val="26"/>
        </w:rPr>
        <w:t>Саранпауль</w:t>
      </w:r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4D1923">
        <w:rPr>
          <w:rFonts w:ascii="Times New Roman" w:eastAsia="Calibri" w:hAnsi="Times New Roman" w:cs="Times New Roman"/>
          <w:sz w:val="26"/>
          <w:szCs w:val="26"/>
        </w:rPr>
        <w:t>20.08.</w:t>
      </w:r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2019 № </w:t>
      </w:r>
      <w:r w:rsidR="004D1923">
        <w:rPr>
          <w:rFonts w:ascii="Times New Roman" w:eastAsia="Calibri" w:hAnsi="Times New Roman" w:cs="Times New Roman"/>
          <w:sz w:val="26"/>
          <w:szCs w:val="26"/>
        </w:rPr>
        <w:t>103</w:t>
      </w:r>
      <w:r w:rsidRPr="00FD4B6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D1923">
        <w:rPr>
          <w:rFonts w:ascii="Times New Roman" w:eastAsia="Calibri" w:hAnsi="Times New Roman" w:cs="Times New Roman"/>
          <w:sz w:val="26"/>
          <w:szCs w:val="26"/>
        </w:rPr>
        <w:t>«</w:t>
      </w:r>
      <w:r w:rsidR="00F92849" w:rsidRPr="00F92849">
        <w:rPr>
          <w:rFonts w:ascii="Times New Roman" w:eastAsia="Calibri" w:hAnsi="Times New Roman" w:cs="Times New Roman"/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Саранпауль, на 2020 год и на плановый период 2021 и 2022 год</w:t>
      </w:r>
      <w:r w:rsidR="004D1923" w:rsidRPr="004D1923">
        <w:rPr>
          <w:rFonts w:ascii="Times New Roman" w:eastAsia="Calibri" w:hAnsi="Times New Roman" w:cs="Times New Roman"/>
          <w:sz w:val="26"/>
          <w:szCs w:val="26"/>
        </w:rPr>
        <w:t>»</w:t>
      </w:r>
      <w:r w:rsidR="008351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65DC1" w:rsidRPr="00FD4B62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 xml:space="preserve">По каждому виду муниципального контроля на официальном сайте администрации  сельского поселения </w:t>
      </w:r>
      <w:r w:rsidR="009E79DE">
        <w:rPr>
          <w:rFonts w:ascii="Times New Roman" w:hAnsi="Times New Roman" w:cs="Times New Roman"/>
          <w:sz w:val="26"/>
          <w:szCs w:val="26"/>
        </w:rPr>
        <w:t>Саранпауль</w:t>
      </w:r>
      <w:r w:rsidRPr="00FD4B62">
        <w:rPr>
          <w:rFonts w:ascii="Times New Roman" w:hAnsi="Times New Roman" w:cs="Times New Roman"/>
          <w:sz w:val="26"/>
          <w:szCs w:val="26"/>
        </w:rPr>
        <w:t xml:space="preserve">  в разделе  «Муниципальный контроль» разработаны и размещены:</w:t>
      </w:r>
    </w:p>
    <w:p w:rsidR="00B65DC1" w:rsidRPr="00FD4B62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B65DC1" w:rsidRPr="00FD4B62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B65DC1" w:rsidRPr="00FD4B62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B65DC1" w:rsidRPr="00907B11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B62"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</w:t>
      </w:r>
      <w:r w:rsidRPr="00907B11">
        <w:rPr>
          <w:rFonts w:ascii="Times New Roman" w:hAnsi="Times New Roman" w:cs="Times New Roman"/>
          <w:sz w:val="26"/>
          <w:szCs w:val="26"/>
        </w:rPr>
        <w:t xml:space="preserve"> обязательных требований и осуществлением муниципального контроля лично и по телефону;</w:t>
      </w:r>
    </w:p>
    <w:p w:rsidR="00B65DC1" w:rsidRPr="00907B11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B11"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B65DC1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331DE8" w:rsidRPr="00186C47" w:rsidRDefault="00331DE8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5DC1" w:rsidRDefault="00B65DC1" w:rsidP="005410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FD15F3" w:rsidRPr="00907B11" w:rsidRDefault="00FD15F3" w:rsidP="00541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DC1" w:rsidRPr="00907B11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B65DC1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5DC1" w:rsidRPr="00907B11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соблюдения.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264D26">
        <w:rPr>
          <w:rFonts w:ascii="Times New Roman" w:hAnsi="Times New Roman" w:cs="Times New Roman"/>
          <w:sz w:val="26"/>
          <w:szCs w:val="26"/>
        </w:rPr>
        <w:t>правоотношений.</w:t>
      </w:r>
    </w:p>
    <w:p w:rsidR="00B65DC1" w:rsidRPr="00907B11" w:rsidRDefault="00B65DC1" w:rsidP="0054107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65DC1" w:rsidRDefault="00B65DC1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D15F3" w:rsidRPr="00907B11" w:rsidRDefault="00FD15F3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65DC1" w:rsidRPr="00264D26" w:rsidRDefault="00B65DC1" w:rsidP="00541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B65DC1" w:rsidRPr="00264D26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B65DC1" w:rsidRPr="00264D26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B65DC1" w:rsidRPr="00264D26" w:rsidRDefault="00B65DC1" w:rsidP="00541077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5DC1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EE217A" w:rsidRDefault="00EE217A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482"/>
        <w:gridCol w:w="2333"/>
        <w:gridCol w:w="2334"/>
      </w:tblGrid>
      <w:tr w:rsidR="00B65DC1" w:rsidTr="00541077">
        <w:tc>
          <w:tcPr>
            <w:tcW w:w="588" w:type="dxa"/>
          </w:tcPr>
          <w:p w:rsidR="00B65DC1" w:rsidRPr="00907B11" w:rsidRDefault="00B65DC1" w:rsidP="0054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2" w:type="dxa"/>
          </w:tcPr>
          <w:p w:rsidR="00B65DC1" w:rsidRPr="00907B11" w:rsidRDefault="00B65DC1" w:rsidP="0054107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33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B65DC1" w:rsidTr="00541077">
        <w:trPr>
          <w:trHeight w:val="3077"/>
        </w:trPr>
        <w:tc>
          <w:tcPr>
            <w:tcW w:w="588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2" w:type="dxa"/>
          </w:tcPr>
          <w:p w:rsidR="00B65DC1" w:rsidRPr="00313378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B65DC1" w:rsidRPr="00313378" w:rsidRDefault="00B65DC1" w:rsidP="0054107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Размещенные сведения поддерживаются в актуальном состоянии и обновляются в срок не позднее 5 рабо</w:t>
            </w:r>
            <w:r w:rsidR="00EE2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чих дней с момента их изменения</w:t>
            </w:r>
          </w:p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4" w:type="dxa"/>
          </w:tcPr>
          <w:p w:rsidR="00B65DC1" w:rsidRDefault="00EB636E" w:rsidP="00EB63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B636E">
              <w:rPr>
                <w:rFonts w:ascii="Times New Roman" w:hAnsi="Times New Roman" w:cs="Times New Roman"/>
                <w:sz w:val="26"/>
                <w:szCs w:val="26"/>
              </w:rPr>
              <w:t xml:space="preserve"> отдела муниципального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36E">
              <w:rPr>
                <w:rFonts w:ascii="Times New Roman" w:hAnsi="Times New Roman" w:cs="Times New Roman"/>
                <w:sz w:val="26"/>
                <w:szCs w:val="26"/>
              </w:rPr>
              <w:t>и реализации программ</w:t>
            </w:r>
          </w:p>
        </w:tc>
      </w:tr>
      <w:tr w:rsidR="00B65DC1" w:rsidTr="00541077">
        <w:tc>
          <w:tcPr>
            <w:tcW w:w="588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82" w:type="dxa"/>
          </w:tcPr>
          <w:p w:rsidR="00B65DC1" w:rsidRPr="00907B11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64D26">
              <w:rPr>
                <w:rFonts w:ascii="Times New Roman" w:hAnsi="Times New Roman" w:cs="Times New Roman"/>
                <w:b/>
                <w:sz w:val="26"/>
                <w:szCs w:val="26"/>
              </w:rPr>
              <w:t>бъявление предостережения</w:t>
            </w: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5DC1" w:rsidRPr="00907B11" w:rsidRDefault="00B65DC1" w:rsidP="005410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непосредственных нарушениях обязательных требований.</w:t>
            </w:r>
          </w:p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3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Pr="00367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случае получения сведений о готовящихся или возможных нарушениях обязательных требований, а </w:t>
            </w:r>
            <w:r w:rsidRPr="00367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также о непосредственных нарушениях обязательных требований</w:t>
            </w:r>
          </w:p>
        </w:tc>
        <w:tc>
          <w:tcPr>
            <w:tcW w:w="2334" w:type="dxa"/>
          </w:tcPr>
          <w:p w:rsidR="00B65DC1" w:rsidRDefault="00DD1985" w:rsidP="00DD19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B65DC1" w:rsidRPr="005C6929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985">
              <w:rPr>
                <w:rFonts w:ascii="Times New Roman" w:hAnsi="Times New Roman" w:cs="Times New Roman"/>
                <w:sz w:val="26"/>
                <w:szCs w:val="26"/>
              </w:rPr>
              <w:t xml:space="preserve">отдела муниципального имущества 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D1985">
              <w:rPr>
                <w:rFonts w:ascii="Times New Roman" w:hAnsi="Times New Roman" w:cs="Times New Roman"/>
                <w:sz w:val="26"/>
                <w:szCs w:val="26"/>
              </w:rPr>
              <w:t xml:space="preserve">рограмм </w:t>
            </w:r>
            <w:r w:rsidR="00B65DC1" w:rsidRPr="005C6929">
              <w:rPr>
                <w:rFonts w:ascii="Times New Roman" w:hAnsi="Times New Roman" w:cs="Times New Roman"/>
                <w:sz w:val="26"/>
                <w:szCs w:val="26"/>
              </w:rPr>
              <w:t>(по муниципальному контролю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5DC1" w:rsidTr="00541077">
        <w:tc>
          <w:tcPr>
            <w:tcW w:w="588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482" w:type="dxa"/>
          </w:tcPr>
          <w:p w:rsidR="00B65DC1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B65DC1" w:rsidRPr="00313378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B65DC1" w:rsidRPr="00313378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компетенции контрольного органа;</w:t>
            </w:r>
          </w:p>
          <w:p w:rsidR="00B65DC1" w:rsidRPr="00313378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организация и осуществление муниципального контроля;</w:t>
            </w:r>
          </w:p>
          <w:p w:rsidR="00B65DC1" w:rsidRPr="00313378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- порядок осуществления профилактических и контрольных мероприятий, установленных </w:t>
            </w:r>
            <w:r w:rsidRPr="00886710">
              <w:rPr>
                <w:rFonts w:ascii="Times New Roman" w:hAnsi="Times New Roman" w:cs="Times New Roman"/>
                <w:sz w:val="26"/>
                <w:szCs w:val="26"/>
              </w:rPr>
              <w:t>Положением о муниципальном контроле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DC1" w:rsidRPr="00313378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требования, проверяемые при осуществлении муниципального контроля; </w:t>
            </w:r>
          </w:p>
          <w:p w:rsidR="00B65DC1" w:rsidRPr="00313378" w:rsidRDefault="00B65DC1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применение мер ответственности за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рушение обязательных требований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3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334" w:type="dxa"/>
          </w:tcPr>
          <w:p w:rsidR="00B65DC1" w:rsidRDefault="00DD1985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98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отдела муниципального имущества и реализации программ (по муниципальному контролю)</w:t>
            </w:r>
          </w:p>
        </w:tc>
      </w:tr>
      <w:tr w:rsidR="00B65DC1" w:rsidTr="00541077">
        <w:tc>
          <w:tcPr>
            <w:tcW w:w="588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82" w:type="dxa"/>
          </w:tcPr>
          <w:p w:rsidR="00B65DC1" w:rsidRDefault="00B65DC1" w:rsidP="0054107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3E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</w:p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CD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33" w:type="dxa"/>
          </w:tcPr>
          <w:p w:rsidR="00B65DC1" w:rsidRDefault="00B65DC1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</w:t>
            </w:r>
            <w:r w:rsidRPr="005C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основании планового задания руководителя контрольного органа,</w:t>
            </w:r>
            <w:r w:rsidRPr="005C4C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планом работы </w:t>
            </w:r>
            <w:r w:rsidRPr="005C4CF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контрольного органа</w:t>
            </w:r>
          </w:p>
        </w:tc>
        <w:tc>
          <w:tcPr>
            <w:tcW w:w="2334" w:type="dxa"/>
          </w:tcPr>
          <w:p w:rsidR="00B65DC1" w:rsidRDefault="00DD1985" w:rsidP="005410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отдела муниципального имущества и реализации программ (по муниципальному контролю)</w:t>
            </w:r>
          </w:p>
        </w:tc>
      </w:tr>
    </w:tbl>
    <w:p w:rsidR="00B65DC1" w:rsidRPr="00907B11" w:rsidRDefault="00B65DC1" w:rsidP="00541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DC1" w:rsidRDefault="00B65DC1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FD15F3" w:rsidRPr="00186C47" w:rsidRDefault="00FD15F3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B65DC1" w:rsidRPr="00907B11" w:rsidTr="005410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B65DC1" w:rsidRPr="00907B11" w:rsidTr="00541077">
        <w:trPr>
          <w:trHeight w:hRule="exact" w:val="1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65DC1" w:rsidRPr="00907B11" w:rsidTr="00541077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B65DC1" w:rsidRPr="00907B11" w:rsidTr="00541077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выполнения плана профилактики на очередной календарный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65DC1" w:rsidRPr="00907B11" w:rsidTr="00541077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B65DC1" w:rsidRPr="00907B11" w:rsidTr="0054107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4C71AF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5DC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65DC1" w:rsidRPr="00907B11" w:rsidTr="00541077">
        <w:trPr>
          <w:trHeight w:hRule="exact" w:val="2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DC1" w:rsidRPr="000D7CA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министративных правонарушениях </w:t>
            </w: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B65DC1" w:rsidRPr="00907B11" w:rsidTr="0054107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907B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F5F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907B11" w:rsidRDefault="00B65DC1" w:rsidP="005410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65DC1" w:rsidRPr="00907B11" w:rsidTr="0054107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Default="00B65DC1" w:rsidP="00541077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330F5F" w:rsidRDefault="00B65DC1" w:rsidP="00541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F5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330F5F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</w:tbl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65DC1" w:rsidRDefault="00B65DC1" w:rsidP="0002714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B65DC1" w:rsidSect="00541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2"/>
    <w:rsid w:val="00027144"/>
    <w:rsid w:val="00105BCA"/>
    <w:rsid w:val="002476B1"/>
    <w:rsid w:val="002D31D1"/>
    <w:rsid w:val="00331DE8"/>
    <w:rsid w:val="003C0B5E"/>
    <w:rsid w:val="004B3717"/>
    <w:rsid w:val="004C42AE"/>
    <w:rsid w:val="004C71AF"/>
    <w:rsid w:val="004D1923"/>
    <w:rsid w:val="004E605C"/>
    <w:rsid w:val="00541077"/>
    <w:rsid w:val="006B1A29"/>
    <w:rsid w:val="006E4B12"/>
    <w:rsid w:val="00756C71"/>
    <w:rsid w:val="00773100"/>
    <w:rsid w:val="0083515E"/>
    <w:rsid w:val="00876DFA"/>
    <w:rsid w:val="008A52F2"/>
    <w:rsid w:val="009C09DA"/>
    <w:rsid w:val="009E79DE"/>
    <w:rsid w:val="00A15D6B"/>
    <w:rsid w:val="00B07A51"/>
    <w:rsid w:val="00B1163C"/>
    <w:rsid w:val="00B65DC1"/>
    <w:rsid w:val="00C13389"/>
    <w:rsid w:val="00DA6754"/>
    <w:rsid w:val="00DD1985"/>
    <w:rsid w:val="00EB636E"/>
    <w:rsid w:val="00EC49F1"/>
    <w:rsid w:val="00EE217A"/>
    <w:rsid w:val="00F92849"/>
    <w:rsid w:val="00FD15F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37A9-5D8C-459F-B37E-7E1BD143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ЕД</dc:creator>
  <cp:lastModifiedBy>1</cp:lastModifiedBy>
  <cp:revision>2</cp:revision>
  <cp:lastPrinted>2021-12-17T07:22:00Z</cp:lastPrinted>
  <dcterms:created xsi:type="dcterms:W3CDTF">2022-02-01T09:17:00Z</dcterms:created>
  <dcterms:modified xsi:type="dcterms:W3CDTF">2022-02-01T09:17:00Z</dcterms:modified>
</cp:coreProperties>
</file>